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10F48" w14:textId="5B99A3A5" w:rsidR="009B14CE" w:rsidRPr="009B14CE" w:rsidRDefault="009B14CE" w:rsidP="009B14CE">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9B14CE">
        <w:rPr>
          <w:rFonts w:ascii="Lato" w:eastAsia="Times New Roman" w:hAnsi="Lato" w:cs="Times New Roman"/>
          <w:color w:val="CC3300"/>
          <w:kern w:val="36"/>
          <w:sz w:val="36"/>
          <w:szCs w:val="36"/>
          <w:lang w:eastAsia="fr-BE"/>
          <w14:ligatures w14:val="none"/>
        </w:rPr>
        <w:t>Primes sur les métaux de base</w:t>
      </w:r>
      <w:r>
        <w:rPr>
          <w:rFonts w:ascii="Lato" w:eastAsia="Times New Roman" w:hAnsi="Lato" w:cs="Times New Roman"/>
          <w:color w:val="CC3300"/>
          <w:kern w:val="36"/>
          <w:sz w:val="36"/>
          <w:szCs w:val="36"/>
          <w:lang w:eastAsia="fr-BE"/>
          <w14:ligatures w14:val="none"/>
        </w:rPr>
        <w:t>,</w:t>
      </w:r>
      <w:r w:rsidRPr="009B14CE">
        <w:rPr>
          <w:rFonts w:ascii="Lato" w:eastAsia="Times New Roman" w:hAnsi="Lato" w:cs="Times New Roman"/>
          <w:color w:val="CC3300"/>
          <w:kern w:val="36"/>
          <w:sz w:val="36"/>
          <w:szCs w:val="36"/>
          <w:lang w:eastAsia="fr-BE"/>
          <w14:ligatures w14:val="none"/>
        </w:rPr>
        <w:t xml:space="preserve"> vers une année 2025 incertaine</w:t>
      </w:r>
    </w:p>
    <w:p w14:paraId="48D492A0" w14:textId="77777777" w:rsidR="009B14CE" w:rsidRDefault="009B14CE" w:rsidP="009B14CE">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3BCED866" w14:textId="0263C6F7" w:rsidR="009B14CE" w:rsidRPr="009B14CE" w:rsidRDefault="009B14CE" w:rsidP="009B14C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proofErr w:type="gramStart"/>
      <w:r w:rsidRPr="009B14CE">
        <w:rPr>
          <w:rFonts w:ascii="Lato" w:eastAsia="Times New Roman" w:hAnsi="Lato" w:cs="Times New Roman"/>
          <w:b/>
          <w:bCs/>
          <w:color w:val="000000"/>
          <w:kern w:val="0"/>
          <w:sz w:val="23"/>
          <w:szCs w:val="23"/>
          <w:lang w:eastAsia="fr-BE"/>
          <w14:ligatures w14:val="none"/>
        </w:rPr>
        <w:t>Rotterdam.–</w:t>
      </w:r>
      <w:proofErr w:type="gramEnd"/>
      <w:r w:rsidRPr="009B14CE">
        <w:rPr>
          <w:rFonts w:ascii="Lato" w:eastAsia="Times New Roman" w:hAnsi="Lato" w:cs="Times New Roman"/>
          <w:b/>
          <w:bCs/>
          <w:color w:val="000000"/>
          <w:kern w:val="0"/>
          <w:sz w:val="23"/>
          <w:szCs w:val="23"/>
          <w:lang w:eastAsia="fr-BE"/>
          <w14:ligatures w14:val="none"/>
        </w:rPr>
        <w:t xml:space="preserve"> La demande continue de plomber l’ensemble des marchés de métaux en ce début 2025, dans un contexte particulièrement morose. Les consommateurs indiquent vouloir s’approvisionner davantage sur le marché spot, ce qui témoigne de l’absence de visibilité et des inquiétudes liées à l’économie. Seul le marché des lingots d’aluminium affiche une progression.</w:t>
      </w:r>
    </w:p>
    <w:p w14:paraId="09508E29" w14:textId="77777777" w:rsidR="009B14CE" w:rsidRPr="009B14CE" w:rsidRDefault="009B14CE" w:rsidP="009B14C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B14CE">
        <w:rPr>
          <w:rFonts w:ascii="Lato" w:eastAsia="Times New Roman" w:hAnsi="Lato" w:cs="Times New Roman"/>
          <w:color w:val="000000"/>
          <w:kern w:val="0"/>
          <w:sz w:val="23"/>
          <w:szCs w:val="23"/>
          <w:lang w:eastAsia="fr-BE"/>
          <w14:ligatures w14:val="none"/>
        </w:rPr>
        <w:t> </w:t>
      </w:r>
    </w:p>
    <w:p w14:paraId="726A6AD9" w14:textId="77777777" w:rsidR="009B14CE" w:rsidRPr="009B14CE" w:rsidRDefault="009B14CE" w:rsidP="009B14C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B14CE">
        <w:rPr>
          <w:rFonts w:ascii="Lato" w:eastAsia="Times New Roman" w:hAnsi="Lato" w:cs="Times New Roman"/>
          <w:b/>
          <w:bCs/>
          <w:color w:val="A52A2A"/>
          <w:kern w:val="0"/>
          <w:sz w:val="23"/>
          <w:szCs w:val="23"/>
          <w:lang w:eastAsia="fr-BE"/>
          <w14:ligatures w14:val="none"/>
        </w:rPr>
        <w:t>Aluminium : les achats réalisés davantage sur le marché spot</w:t>
      </w:r>
    </w:p>
    <w:p w14:paraId="7791EA42" w14:textId="77777777" w:rsidR="009B14CE" w:rsidRPr="009B14CE" w:rsidRDefault="009B14CE" w:rsidP="009B14C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B14CE">
        <w:rPr>
          <w:rFonts w:ascii="Lato" w:eastAsia="Times New Roman" w:hAnsi="Lato" w:cs="Times New Roman"/>
          <w:color w:val="000000"/>
          <w:kern w:val="0"/>
          <w:sz w:val="23"/>
          <w:szCs w:val="23"/>
          <w:lang w:eastAsia="fr-BE"/>
          <w14:ligatures w14:val="none"/>
        </w:rPr>
        <w:t>En 2025, les consommateurs devraient continuer à s’approvisionner en </w:t>
      </w:r>
      <w:r w:rsidRPr="009B14CE">
        <w:rPr>
          <w:rFonts w:ascii="Lato" w:eastAsia="Times New Roman" w:hAnsi="Lato" w:cs="Times New Roman"/>
          <w:color w:val="000000"/>
          <w:kern w:val="0"/>
          <w:sz w:val="23"/>
          <w:szCs w:val="23"/>
          <w:u w:val="single"/>
          <w:lang w:eastAsia="fr-BE"/>
          <w14:ligatures w14:val="none"/>
        </w:rPr>
        <w:t>billettes d’aluminium</w:t>
      </w:r>
      <w:r w:rsidRPr="009B14CE">
        <w:rPr>
          <w:rFonts w:ascii="Lato" w:eastAsia="Times New Roman" w:hAnsi="Lato" w:cs="Times New Roman"/>
          <w:color w:val="000000"/>
          <w:kern w:val="0"/>
          <w:sz w:val="23"/>
          <w:szCs w:val="23"/>
          <w:lang w:eastAsia="fr-BE"/>
          <w14:ligatures w14:val="none"/>
        </w:rPr>
        <w:t> en priorité sur le marché spot, plutôt que </w:t>
      </w:r>
      <w:r w:rsidRPr="009B14CE">
        <w:rPr>
          <w:rFonts w:ascii="Lato" w:eastAsia="Times New Roman" w:hAnsi="Lato" w:cs="Times New Roman"/>
          <w:i/>
          <w:iCs/>
          <w:color w:val="000000"/>
          <w:kern w:val="0"/>
          <w:sz w:val="23"/>
          <w:szCs w:val="23"/>
          <w:lang w:eastAsia="fr-BE"/>
          <w14:ligatures w14:val="none"/>
        </w:rPr>
        <w:t>via </w:t>
      </w:r>
      <w:r w:rsidRPr="009B14CE">
        <w:rPr>
          <w:rFonts w:ascii="Lato" w:eastAsia="Times New Roman" w:hAnsi="Lato" w:cs="Times New Roman"/>
          <w:color w:val="000000"/>
          <w:kern w:val="0"/>
          <w:sz w:val="23"/>
          <w:szCs w:val="23"/>
          <w:lang w:eastAsia="fr-BE"/>
          <w14:ligatures w14:val="none"/>
        </w:rPr>
        <w:t>des contrats trimestriels ou annuels, compte tenu de la faiblesse persistante de la demande.</w:t>
      </w:r>
    </w:p>
    <w:p w14:paraId="33D4E7AE" w14:textId="77777777" w:rsidR="009B14CE" w:rsidRPr="009B14CE" w:rsidRDefault="009B14CE" w:rsidP="009B14C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B14CE">
        <w:rPr>
          <w:rFonts w:ascii="Lato" w:eastAsia="Times New Roman" w:hAnsi="Lato" w:cs="Times New Roman"/>
          <w:color w:val="000000"/>
          <w:kern w:val="0"/>
          <w:sz w:val="23"/>
          <w:szCs w:val="23"/>
          <w:lang w:eastAsia="fr-BE"/>
          <w14:ligatures w14:val="none"/>
        </w:rPr>
        <w:t>Les reports ou annulations répétés de négociations portant sur les volumes du premier trimestre sont dernièrement devenus monnaie courante sur le marché, les consommateurs achetant davantage de gré à gré. « </w:t>
      </w:r>
      <w:r w:rsidRPr="009B14CE">
        <w:rPr>
          <w:rFonts w:ascii="Lato" w:eastAsia="Times New Roman" w:hAnsi="Lato" w:cs="Times New Roman"/>
          <w:i/>
          <w:iCs/>
          <w:color w:val="000000"/>
          <w:kern w:val="0"/>
          <w:sz w:val="23"/>
          <w:szCs w:val="23"/>
          <w:lang w:eastAsia="fr-BE"/>
          <w14:ligatures w14:val="none"/>
        </w:rPr>
        <w:t>Depuis début décembre, les consommateurs achètent du métal spot, mais uniquement les volumes dont ils ont besoin</w:t>
      </w:r>
      <w:r w:rsidRPr="009B14CE">
        <w:rPr>
          <w:rFonts w:ascii="Lato" w:eastAsia="Times New Roman" w:hAnsi="Lato" w:cs="Times New Roman"/>
          <w:color w:val="000000"/>
          <w:kern w:val="0"/>
          <w:sz w:val="23"/>
          <w:szCs w:val="23"/>
          <w:lang w:eastAsia="fr-BE"/>
          <w14:ligatures w14:val="none"/>
        </w:rPr>
        <w:t>, indique un producteur. </w:t>
      </w:r>
      <w:r w:rsidRPr="009B14CE">
        <w:rPr>
          <w:rFonts w:ascii="Lato" w:eastAsia="Times New Roman" w:hAnsi="Lato" w:cs="Times New Roman"/>
          <w:i/>
          <w:iCs/>
          <w:color w:val="000000"/>
          <w:kern w:val="0"/>
          <w:sz w:val="23"/>
          <w:szCs w:val="23"/>
          <w:lang w:eastAsia="fr-BE"/>
          <w14:ligatures w14:val="none"/>
        </w:rPr>
        <w:t>Certains d’entre eux ne veulent pas signer de contrat pour le premier trimestre. </w:t>
      </w:r>
      <w:r w:rsidRPr="009B14CE">
        <w:rPr>
          <w:rFonts w:ascii="Lato" w:eastAsia="Times New Roman" w:hAnsi="Lato" w:cs="Times New Roman"/>
          <w:color w:val="000000"/>
          <w:kern w:val="0"/>
          <w:sz w:val="23"/>
          <w:szCs w:val="23"/>
          <w:lang w:eastAsia="fr-BE"/>
          <w14:ligatures w14:val="none"/>
        </w:rPr>
        <w:t>» Le recul de la demande a conduit à un tassement des primes. Celles nouées sur les </w:t>
      </w:r>
      <w:r w:rsidRPr="009B14CE">
        <w:rPr>
          <w:rFonts w:ascii="Lato" w:eastAsia="Times New Roman" w:hAnsi="Lato" w:cs="Times New Roman"/>
          <w:color w:val="000000"/>
          <w:kern w:val="0"/>
          <w:sz w:val="23"/>
          <w:szCs w:val="23"/>
          <w:u w:val="single"/>
          <w:lang w:eastAsia="fr-BE"/>
          <w14:ligatures w14:val="none"/>
        </w:rPr>
        <w:t>billettes d’extrusion 6063</w:t>
      </w:r>
      <w:r w:rsidRPr="009B14CE">
        <w:rPr>
          <w:rFonts w:ascii="Lato" w:eastAsia="Times New Roman" w:hAnsi="Lato" w:cs="Times New Roman"/>
          <w:color w:val="000000"/>
          <w:kern w:val="0"/>
          <w:sz w:val="23"/>
          <w:szCs w:val="23"/>
          <w:lang w:eastAsia="fr-BE"/>
          <w14:ligatures w14:val="none"/>
        </w:rPr>
        <w:t> dédouanées et livrées en </w:t>
      </w:r>
      <w:r w:rsidRPr="009B14CE">
        <w:rPr>
          <w:rFonts w:ascii="Lato" w:eastAsia="Times New Roman" w:hAnsi="Lato" w:cs="Times New Roman"/>
          <w:b/>
          <w:bCs/>
          <w:color w:val="000000"/>
          <w:kern w:val="0"/>
          <w:sz w:val="23"/>
          <w:szCs w:val="23"/>
          <w:lang w:eastAsia="fr-BE"/>
          <w14:ligatures w14:val="none"/>
        </w:rPr>
        <w:t>Italie</w:t>
      </w:r>
      <w:r w:rsidRPr="009B14CE">
        <w:rPr>
          <w:rFonts w:ascii="Lato" w:eastAsia="Times New Roman" w:hAnsi="Lato" w:cs="Times New Roman"/>
          <w:color w:val="000000"/>
          <w:kern w:val="0"/>
          <w:sz w:val="23"/>
          <w:szCs w:val="23"/>
          <w:lang w:eastAsia="fr-BE"/>
          <w14:ligatures w14:val="none"/>
        </w:rPr>
        <w:t> se nouent actuellement entre 535 et 580 $/t, en repli par rapport à la fourchette de 560-585 $/t pratiquée mi-décembre. Les primes sur les billettes livrées dans le nord de l’</w:t>
      </w:r>
      <w:r w:rsidRPr="009B14CE">
        <w:rPr>
          <w:rFonts w:ascii="Lato" w:eastAsia="Times New Roman" w:hAnsi="Lato" w:cs="Times New Roman"/>
          <w:b/>
          <w:bCs/>
          <w:color w:val="000000"/>
          <w:kern w:val="0"/>
          <w:sz w:val="23"/>
          <w:szCs w:val="23"/>
          <w:lang w:eastAsia="fr-BE"/>
          <w14:ligatures w14:val="none"/>
        </w:rPr>
        <w:t>Allemagne</w:t>
      </w:r>
      <w:r w:rsidRPr="009B14CE">
        <w:rPr>
          <w:rFonts w:ascii="Lato" w:eastAsia="Times New Roman" w:hAnsi="Lato" w:cs="Times New Roman"/>
          <w:color w:val="000000"/>
          <w:kern w:val="0"/>
          <w:sz w:val="23"/>
          <w:szCs w:val="23"/>
          <w:lang w:eastAsia="fr-BE"/>
          <w14:ligatures w14:val="none"/>
        </w:rPr>
        <w:t> se sont tassées à 530-560 $/t, contre 535-570 $/t mi-décembre. En raison du recul des primes sur le marché spot, les consommateurs sont moins enclins à réserver des tonnages par l’intermédiaire de contrats trimestriels. « </w:t>
      </w:r>
      <w:r w:rsidRPr="009B14CE">
        <w:rPr>
          <w:rFonts w:ascii="Lato" w:eastAsia="Times New Roman" w:hAnsi="Lato" w:cs="Times New Roman"/>
          <w:i/>
          <w:iCs/>
          <w:color w:val="000000"/>
          <w:kern w:val="0"/>
          <w:sz w:val="23"/>
          <w:szCs w:val="23"/>
          <w:lang w:eastAsia="fr-BE"/>
          <w14:ligatures w14:val="none"/>
        </w:rPr>
        <w:t>Si les primes n’ont pas encore atteint leur seuil plancher, il y a de grandes chances qu’elles cèdent davantage de terrain en 2025. Les producteurs souffrent dans les conditions actuelles, leurs marges sont extrêmement minces </w:t>
      </w:r>
      <w:r w:rsidRPr="009B14CE">
        <w:rPr>
          <w:rFonts w:ascii="Lato" w:eastAsia="Times New Roman" w:hAnsi="Lato" w:cs="Times New Roman"/>
          <w:color w:val="000000"/>
          <w:kern w:val="0"/>
          <w:sz w:val="23"/>
          <w:szCs w:val="23"/>
          <w:lang w:eastAsia="fr-BE"/>
          <w14:ligatures w14:val="none"/>
        </w:rPr>
        <w:t>», ajoute un deuxième producteur. En outre, la faiblesse de la demande et la progression des primes finalisées sur le marché des lingots de première fusion ont pour effet de resserrer davantage encore leurs marges. Certains producteurs de billettes ont, dans ces conditions, basculé leur production vers les lingots, le risque étant de voir apparaître des tensions sur l’offre lorsque la demande se relèvera.</w:t>
      </w:r>
    </w:p>
    <w:p w14:paraId="09C8C1E0" w14:textId="77777777" w:rsidR="009B14CE" w:rsidRPr="009B14CE" w:rsidRDefault="009B14CE" w:rsidP="009B14C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B14CE">
        <w:rPr>
          <w:rFonts w:ascii="Lato" w:eastAsia="Times New Roman" w:hAnsi="Lato" w:cs="Times New Roman"/>
          <w:color w:val="000000"/>
          <w:kern w:val="0"/>
          <w:sz w:val="23"/>
          <w:szCs w:val="23"/>
          <w:lang w:eastAsia="fr-BE"/>
          <w14:ligatures w14:val="none"/>
        </w:rPr>
        <w:t>Les primes sur les </w:t>
      </w:r>
      <w:r w:rsidRPr="009B14CE">
        <w:rPr>
          <w:rFonts w:ascii="Lato" w:eastAsia="Times New Roman" w:hAnsi="Lato" w:cs="Times New Roman"/>
          <w:color w:val="000000"/>
          <w:kern w:val="0"/>
          <w:sz w:val="23"/>
          <w:szCs w:val="23"/>
          <w:u w:val="single"/>
          <w:lang w:eastAsia="fr-BE"/>
          <w14:ligatures w14:val="none"/>
        </w:rPr>
        <w:t>lingots d’aluminium P1020 dédouanés</w:t>
      </w:r>
      <w:r w:rsidRPr="009B14CE">
        <w:rPr>
          <w:rFonts w:ascii="Lato" w:eastAsia="Times New Roman" w:hAnsi="Lato" w:cs="Times New Roman"/>
          <w:color w:val="000000"/>
          <w:kern w:val="0"/>
          <w:sz w:val="23"/>
          <w:szCs w:val="23"/>
          <w:lang w:eastAsia="fr-BE"/>
          <w14:ligatures w14:val="none"/>
        </w:rPr>
        <w:t>, au départ des entrepôts de </w:t>
      </w:r>
      <w:r w:rsidRPr="009B14CE">
        <w:rPr>
          <w:rFonts w:ascii="Lato" w:eastAsia="Times New Roman" w:hAnsi="Lato" w:cs="Times New Roman"/>
          <w:b/>
          <w:bCs/>
          <w:color w:val="000000"/>
          <w:kern w:val="0"/>
          <w:sz w:val="23"/>
          <w:szCs w:val="23"/>
          <w:lang w:eastAsia="fr-BE"/>
          <w14:ligatures w14:val="none"/>
        </w:rPr>
        <w:t>Rotterdam</w:t>
      </w:r>
      <w:r w:rsidRPr="009B14CE">
        <w:rPr>
          <w:rFonts w:ascii="Lato" w:eastAsia="Times New Roman" w:hAnsi="Lato" w:cs="Times New Roman"/>
          <w:color w:val="000000"/>
          <w:kern w:val="0"/>
          <w:sz w:val="23"/>
          <w:szCs w:val="23"/>
          <w:lang w:eastAsia="fr-BE"/>
          <w14:ligatures w14:val="none"/>
        </w:rPr>
        <w:t>, sont stables en ce début d’année, à 345-375 $/t. Celles sur les </w:t>
      </w:r>
      <w:r w:rsidRPr="009B14CE">
        <w:rPr>
          <w:rFonts w:ascii="Lato" w:eastAsia="Times New Roman" w:hAnsi="Lato" w:cs="Times New Roman"/>
          <w:color w:val="000000"/>
          <w:kern w:val="0"/>
          <w:sz w:val="23"/>
          <w:szCs w:val="23"/>
          <w:u w:val="single"/>
          <w:lang w:eastAsia="fr-BE"/>
          <w14:ligatures w14:val="none"/>
        </w:rPr>
        <w:t>lingots non dédouanés</w:t>
      </w:r>
      <w:r w:rsidRPr="009B14CE">
        <w:rPr>
          <w:rFonts w:ascii="Lato" w:eastAsia="Times New Roman" w:hAnsi="Lato" w:cs="Times New Roman"/>
          <w:color w:val="000000"/>
          <w:kern w:val="0"/>
          <w:sz w:val="23"/>
          <w:szCs w:val="23"/>
          <w:lang w:eastAsia="fr-BE"/>
          <w14:ligatures w14:val="none"/>
        </w:rPr>
        <w:t> grapillent un peu de terrain à 295-320 $/t. « </w:t>
      </w:r>
      <w:r w:rsidRPr="009B14CE">
        <w:rPr>
          <w:rFonts w:ascii="Lato" w:eastAsia="Times New Roman" w:hAnsi="Lato" w:cs="Times New Roman"/>
          <w:i/>
          <w:iCs/>
          <w:color w:val="000000"/>
          <w:kern w:val="0"/>
          <w:sz w:val="23"/>
          <w:szCs w:val="23"/>
          <w:lang w:eastAsia="fr-BE"/>
          <w14:ligatures w14:val="none"/>
        </w:rPr>
        <w:t>Les perspectives vont s’améliorer à compter du second trimestre</w:t>
      </w:r>
      <w:r w:rsidRPr="009B14CE">
        <w:rPr>
          <w:rFonts w:ascii="Lato" w:eastAsia="Times New Roman" w:hAnsi="Lato" w:cs="Times New Roman"/>
          <w:color w:val="000000"/>
          <w:kern w:val="0"/>
          <w:sz w:val="23"/>
          <w:szCs w:val="23"/>
          <w:lang w:eastAsia="fr-BE"/>
          <w14:ligatures w14:val="none"/>
        </w:rPr>
        <w:t>, anticipe une source. </w:t>
      </w:r>
      <w:r w:rsidRPr="009B14CE">
        <w:rPr>
          <w:rFonts w:ascii="Lato" w:eastAsia="Times New Roman" w:hAnsi="Lato" w:cs="Times New Roman"/>
          <w:i/>
          <w:iCs/>
          <w:color w:val="000000"/>
          <w:kern w:val="0"/>
          <w:sz w:val="23"/>
          <w:szCs w:val="23"/>
          <w:lang w:eastAsia="fr-BE"/>
          <w14:ligatures w14:val="none"/>
        </w:rPr>
        <w:t>Certains producteurs de billettes ont réduit leurs capacités. Pour notre part, nous produisons au maximum de nos capacités et stockons la production dans nos usines.</w:t>
      </w:r>
      <w:r w:rsidRPr="009B14CE">
        <w:rPr>
          <w:rFonts w:ascii="Lato" w:eastAsia="Times New Roman" w:hAnsi="Lato" w:cs="Times New Roman"/>
          <w:color w:val="000000"/>
          <w:kern w:val="0"/>
          <w:sz w:val="23"/>
          <w:szCs w:val="23"/>
          <w:lang w:eastAsia="fr-BE"/>
          <w14:ligatures w14:val="none"/>
        </w:rPr>
        <w:t> »</w:t>
      </w:r>
    </w:p>
    <w:p w14:paraId="75C262AC" w14:textId="77777777" w:rsidR="009B14CE" w:rsidRPr="009B14CE" w:rsidRDefault="009B14CE" w:rsidP="009B14C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B14CE">
        <w:rPr>
          <w:rFonts w:ascii="Lato" w:eastAsia="Times New Roman" w:hAnsi="Lato" w:cs="Times New Roman"/>
          <w:color w:val="000000"/>
          <w:kern w:val="0"/>
          <w:sz w:val="23"/>
          <w:szCs w:val="23"/>
          <w:lang w:eastAsia="fr-BE"/>
          <w14:ligatures w14:val="none"/>
        </w:rPr>
        <w:t>Sur le marché des </w:t>
      </w:r>
      <w:r w:rsidRPr="009B14CE">
        <w:rPr>
          <w:rFonts w:ascii="Lato" w:eastAsia="Times New Roman" w:hAnsi="Lato" w:cs="Times New Roman"/>
          <w:color w:val="000000"/>
          <w:kern w:val="0"/>
          <w:sz w:val="23"/>
          <w:szCs w:val="23"/>
          <w:u w:val="single"/>
          <w:lang w:eastAsia="fr-BE"/>
          <w14:ligatures w14:val="none"/>
        </w:rPr>
        <w:t>lingots de fonderie d’alliages d’aluminium</w:t>
      </w:r>
      <w:r w:rsidRPr="009B14CE">
        <w:rPr>
          <w:rFonts w:ascii="Lato" w:eastAsia="Times New Roman" w:hAnsi="Lato" w:cs="Times New Roman"/>
          <w:color w:val="000000"/>
          <w:kern w:val="0"/>
          <w:sz w:val="23"/>
          <w:szCs w:val="23"/>
          <w:lang w:eastAsia="fr-BE"/>
          <w14:ligatures w14:val="none"/>
        </w:rPr>
        <w:t xml:space="preserve">, certains consommateurs envisagent de porter la proportion des achats du marché spot à 40% en 2025, contre 10 à 20% l’année dernière. A l’instar des acteurs du marché des billettes, ceux agissant sur le marché des lingots d’alliages ne veulent pas signer de contrats à long terme au risque de voir </w:t>
      </w:r>
      <w:proofErr w:type="gramStart"/>
      <w:r w:rsidRPr="009B14CE">
        <w:rPr>
          <w:rFonts w:ascii="Lato" w:eastAsia="Times New Roman" w:hAnsi="Lato" w:cs="Times New Roman"/>
          <w:color w:val="000000"/>
          <w:kern w:val="0"/>
          <w:sz w:val="23"/>
          <w:szCs w:val="23"/>
          <w:lang w:eastAsia="fr-BE"/>
          <w14:ligatures w14:val="none"/>
        </w:rPr>
        <w:t>les primes spot</w:t>
      </w:r>
      <w:proofErr w:type="gramEnd"/>
      <w:r w:rsidRPr="009B14CE">
        <w:rPr>
          <w:rFonts w:ascii="Lato" w:eastAsia="Times New Roman" w:hAnsi="Lato" w:cs="Times New Roman"/>
          <w:color w:val="000000"/>
          <w:kern w:val="0"/>
          <w:sz w:val="23"/>
          <w:szCs w:val="23"/>
          <w:lang w:eastAsia="fr-BE"/>
          <w14:ligatures w14:val="none"/>
        </w:rPr>
        <w:t xml:space="preserve"> reculer dans quelque temps, la demande du secteur automobile s’étant fortement dégradée. « </w:t>
      </w:r>
      <w:r w:rsidRPr="009B14CE">
        <w:rPr>
          <w:rFonts w:ascii="Lato" w:eastAsia="Times New Roman" w:hAnsi="Lato" w:cs="Times New Roman"/>
          <w:i/>
          <w:iCs/>
          <w:color w:val="000000"/>
          <w:kern w:val="0"/>
          <w:sz w:val="23"/>
          <w:szCs w:val="23"/>
          <w:lang w:eastAsia="fr-BE"/>
          <w14:ligatures w14:val="none"/>
        </w:rPr>
        <w:t>L’industrie automobile est en souffrance </w:t>
      </w:r>
      <w:r w:rsidRPr="009B14CE">
        <w:rPr>
          <w:rFonts w:ascii="Lato" w:eastAsia="Times New Roman" w:hAnsi="Lato" w:cs="Times New Roman"/>
          <w:color w:val="000000"/>
          <w:kern w:val="0"/>
          <w:sz w:val="23"/>
          <w:szCs w:val="23"/>
          <w:lang w:eastAsia="fr-BE"/>
          <w14:ligatures w14:val="none"/>
        </w:rPr>
        <w:t>», note un consommateur qui ne s’attend pas à voir une amélioration dans les prochaines semaines. Et de poursuivre : « </w:t>
      </w:r>
      <w:r w:rsidRPr="009B14CE">
        <w:rPr>
          <w:rFonts w:ascii="Lato" w:eastAsia="Times New Roman" w:hAnsi="Lato" w:cs="Times New Roman"/>
          <w:i/>
          <w:iCs/>
          <w:color w:val="000000"/>
          <w:kern w:val="0"/>
          <w:sz w:val="23"/>
          <w:szCs w:val="23"/>
          <w:lang w:eastAsia="fr-BE"/>
          <w14:ligatures w14:val="none"/>
        </w:rPr>
        <w:t>Je ne souhaite pas m’engager sur des tonnages importants via des contrats à terme. </w:t>
      </w:r>
      <w:r w:rsidRPr="009B14CE">
        <w:rPr>
          <w:rFonts w:ascii="Lato" w:eastAsia="Times New Roman" w:hAnsi="Lato" w:cs="Times New Roman"/>
          <w:color w:val="000000"/>
          <w:kern w:val="0"/>
          <w:sz w:val="23"/>
          <w:szCs w:val="23"/>
          <w:lang w:eastAsia="fr-BE"/>
          <w14:ligatures w14:val="none"/>
        </w:rPr>
        <w:t>» Le constructeur automobile </w:t>
      </w:r>
      <w:r w:rsidRPr="009B14CE">
        <w:rPr>
          <w:rFonts w:ascii="Lato" w:eastAsia="Times New Roman" w:hAnsi="Lato" w:cs="Times New Roman"/>
          <w:b/>
          <w:bCs/>
          <w:color w:val="000000"/>
          <w:kern w:val="0"/>
          <w:sz w:val="23"/>
          <w:szCs w:val="23"/>
          <w:lang w:eastAsia="fr-BE"/>
          <w14:ligatures w14:val="none"/>
        </w:rPr>
        <w:t>Volkswagen </w:t>
      </w:r>
      <w:r w:rsidRPr="009B14CE">
        <w:rPr>
          <w:rFonts w:ascii="Lato" w:eastAsia="Times New Roman" w:hAnsi="Lato" w:cs="Times New Roman"/>
          <w:color w:val="000000"/>
          <w:kern w:val="0"/>
          <w:sz w:val="23"/>
          <w:szCs w:val="23"/>
          <w:lang w:eastAsia="fr-BE"/>
          <w14:ligatures w14:val="none"/>
        </w:rPr>
        <w:t xml:space="preserve">a déclaré que, plutôt que de fermer des usines, il allait plafonner sa production à 734.000 unités en Allemagne. Des suppressions de postes, </w:t>
      </w:r>
      <w:r w:rsidRPr="009B14CE">
        <w:rPr>
          <w:rFonts w:ascii="Lato" w:eastAsia="Times New Roman" w:hAnsi="Lato" w:cs="Times New Roman"/>
          <w:color w:val="000000"/>
          <w:kern w:val="0"/>
          <w:sz w:val="23"/>
          <w:szCs w:val="23"/>
          <w:lang w:eastAsia="fr-BE"/>
          <w14:ligatures w14:val="none"/>
        </w:rPr>
        <w:lastRenderedPageBreak/>
        <w:t>possiblement plus de 35.000, sont en revanche envisagées d’ici à 2030. Le 27 décembre, les primes sur les lingots de fonderie livrés en </w:t>
      </w:r>
      <w:r w:rsidRPr="009B14CE">
        <w:rPr>
          <w:rFonts w:ascii="Lato" w:eastAsia="Times New Roman" w:hAnsi="Lato" w:cs="Times New Roman"/>
          <w:b/>
          <w:bCs/>
          <w:color w:val="000000"/>
          <w:kern w:val="0"/>
          <w:sz w:val="23"/>
          <w:szCs w:val="23"/>
          <w:lang w:eastAsia="fr-BE"/>
          <w14:ligatures w14:val="none"/>
        </w:rPr>
        <w:t>Allemagne</w:t>
      </w:r>
      <w:r w:rsidRPr="009B14CE">
        <w:rPr>
          <w:rFonts w:ascii="Lato" w:eastAsia="Times New Roman" w:hAnsi="Lato" w:cs="Times New Roman"/>
          <w:color w:val="000000"/>
          <w:kern w:val="0"/>
          <w:sz w:val="23"/>
          <w:szCs w:val="23"/>
          <w:lang w:eastAsia="fr-BE"/>
          <w14:ligatures w14:val="none"/>
        </w:rPr>
        <w:t> se nouaient entre 490 et 520 $/t, contre 500-520 $/t le 13 septembre. Les primes sur les lingots livrés en </w:t>
      </w:r>
      <w:r w:rsidRPr="009B14CE">
        <w:rPr>
          <w:rFonts w:ascii="Lato" w:eastAsia="Times New Roman" w:hAnsi="Lato" w:cs="Times New Roman"/>
          <w:b/>
          <w:bCs/>
          <w:color w:val="000000"/>
          <w:kern w:val="0"/>
          <w:sz w:val="23"/>
          <w:szCs w:val="23"/>
          <w:lang w:eastAsia="fr-BE"/>
          <w14:ligatures w14:val="none"/>
        </w:rPr>
        <w:t>Europe de l’Ouest</w:t>
      </w:r>
      <w:r w:rsidRPr="009B14CE">
        <w:rPr>
          <w:rFonts w:ascii="Lato" w:eastAsia="Times New Roman" w:hAnsi="Lato" w:cs="Times New Roman"/>
          <w:color w:val="000000"/>
          <w:kern w:val="0"/>
          <w:sz w:val="23"/>
          <w:szCs w:val="23"/>
          <w:lang w:eastAsia="fr-BE"/>
          <w14:ligatures w14:val="none"/>
        </w:rPr>
        <w:t> sont, elles, à 500-520 $/t, inchangées depuis le 12 juillet 2024.</w:t>
      </w:r>
    </w:p>
    <w:p w14:paraId="2D316BC1"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4CE"/>
    <w:rsid w:val="00287462"/>
    <w:rsid w:val="005B6479"/>
    <w:rsid w:val="009B14C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D8E0F"/>
  <w15:chartTrackingRefBased/>
  <w15:docId w15:val="{6CC36D64-AF4C-4DD2-8DD6-8DEC8BFE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B14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B14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B14C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B14C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B14C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B14C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B14C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B14C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B14C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B14C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B14C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B14C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B14C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B14C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B14C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B14C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B14C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B14CE"/>
    <w:rPr>
      <w:rFonts w:eastAsiaTheme="majorEastAsia" w:cstheme="majorBidi"/>
      <w:color w:val="272727" w:themeColor="text1" w:themeTint="D8"/>
    </w:rPr>
  </w:style>
  <w:style w:type="paragraph" w:styleId="Titre">
    <w:name w:val="Title"/>
    <w:basedOn w:val="Normal"/>
    <w:next w:val="Normal"/>
    <w:link w:val="TitreCar"/>
    <w:uiPriority w:val="10"/>
    <w:qFormat/>
    <w:rsid w:val="009B14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B14C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B14C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B14C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B14CE"/>
    <w:pPr>
      <w:spacing w:before="160"/>
      <w:jc w:val="center"/>
    </w:pPr>
    <w:rPr>
      <w:i/>
      <w:iCs/>
      <w:color w:val="404040" w:themeColor="text1" w:themeTint="BF"/>
    </w:rPr>
  </w:style>
  <w:style w:type="character" w:customStyle="1" w:styleId="CitationCar">
    <w:name w:val="Citation Car"/>
    <w:basedOn w:val="Policepardfaut"/>
    <w:link w:val="Citation"/>
    <w:uiPriority w:val="29"/>
    <w:rsid w:val="009B14CE"/>
    <w:rPr>
      <w:i/>
      <w:iCs/>
      <w:color w:val="404040" w:themeColor="text1" w:themeTint="BF"/>
    </w:rPr>
  </w:style>
  <w:style w:type="paragraph" w:styleId="Paragraphedeliste">
    <w:name w:val="List Paragraph"/>
    <w:basedOn w:val="Normal"/>
    <w:uiPriority w:val="34"/>
    <w:qFormat/>
    <w:rsid w:val="009B14CE"/>
    <w:pPr>
      <w:ind w:left="720"/>
      <w:contextualSpacing/>
    </w:pPr>
  </w:style>
  <w:style w:type="character" w:styleId="Accentuationintense">
    <w:name w:val="Intense Emphasis"/>
    <w:basedOn w:val="Policepardfaut"/>
    <w:uiPriority w:val="21"/>
    <w:qFormat/>
    <w:rsid w:val="009B14CE"/>
    <w:rPr>
      <w:i/>
      <w:iCs/>
      <w:color w:val="0F4761" w:themeColor="accent1" w:themeShade="BF"/>
    </w:rPr>
  </w:style>
  <w:style w:type="paragraph" w:styleId="Citationintense">
    <w:name w:val="Intense Quote"/>
    <w:basedOn w:val="Normal"/>
    <w:next w:val="Normal"/>
    <w:link w:val="CitationintenseCar"/>
    <w:uiPriority w:val="30"/>
    <w:qFormat/>
    <w:rsid w:val="009B14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B14CE"/>
    <w:rPr>
      <w:i/>
      <w:iCs/>
      <w:color w:val="0F4761" w:themeColor="accent1" w:themeShade="BF"/>
    </w:rPr>
  </w:style>
  <w:style w:type="character" w:styleId="Rfrenceintense">
    <w:name w:val="Intense Reference"/>
    <w:basedOn w:val="Policepardfaut"/>
    <w:uiPriority w:val="32"/>
    <w:qFormat/>
    <w:rsid w:val="009B14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21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3419</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2025-01-07T06:12:00Z</dcterms:created>
  <dcterms:modified xsi:type="dcterms:W3CDTF">2025-01-07T06:12:00Z</dcterms:modified>
</cp:coreProperties>
</file>